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5A47" w14:textId="77777777" w:rsidR="002108D2" w:rsidRDefault="000038E1">
      <w:pPr>
        <w:pStyle w:val="Titel"/>
        <w:pBdr>
          <w:top w:val="none" w:sz="0" w:space="0" w:color="auto"/>
          <w:left w:val="none" w:sz="0" w:space="0" w:color="auto"/>
          <w:bottom w:val="none" w:sz="0" w:space="0" w:color="auto"/>
          <w:right w:val="none" w:sz="0" w:space="0" w:color="auto"/>
        </w:pBdr>
        <w:shd w:val="clear" w:color="auto" w:fill="auto"/>
        <w:tabs>
          <w:tab w:val="left" w:pos="4536"/>
        </w:tabs>
        <w:rPr>
          <w:sz w:val="24"/>
        </w:rPr>
      </w:pPr>
      <w:r>
        <w:rPr>
          <w:sz w:val="24"/>
        </w:rPr>
        <w:t>Information für Einbürgerungsbewerberinnen und –</w:t>
      </w:r>
      <w:proofErr w:type="spellStart"/>
      <w:r>
        <w:rPr>
          <w:sz w:val="24"/>
        </w:rPr>
        <w:t>bewerber</w:t>
      </w:r>
      <w:proofErr w:type="spellEnd"/>
      <w:r>
        <w:rPr>
          <w:sz w:val="24"/>
        </w:rPr>
        <w:t>:</w:t>
      </w:r>
    </w:p>
    <w:p w14:paraId="57310FDC" w14:textId="77777777" w:rsidR="002108D2" w:rsidRDefault="002108D2">
      <w:pPr>
        <w:pStyle w:val="Titel"/>
        <w:pBdr>
          <w:top w:val="none" w:sz="0" w:space="0" w:color="auto"/>
          <w:left w:val="none" w:sz="0" w:space="0" w:color="auto"/>
          <w:bottom w:val="none" w:sz="0" w:space="0" w:color="auto"/>
          <w:right w:val="none" w:sz="0" w:space="0" w:color="auto"/>
        </w:pBdr>
        <w:shd w:val="clear" w:color="auto" w:fill="auto"/>
        <w:jc w:val="left"/>
        <w:rPr>
          <w:sz w:val="24"/>
        </w:rPr>
      </w:pPr>
    </w:p>
    <w:p w14:paraId="103A625C" w14:textId="77777777" w:rsidR="002108D2" w:rsidRDefault="000038E1">
      <w:pPr>
        <w:pStyle w:val="Titel"/>
        <w:pBdr>
          <w:top w:val="single" w:sz="12" w:space="31" w:color="auto" w:shadow="1"/>
          <w:left w:val="single" w:sz="12" w:space="5" w:color="auto" w:shadow="1"/>
          <w:bottom w:val="single" w:sz="12" w:space="31" w:color="auto" w:shadow="1"/>
          <w:right w:val="single" w:sz="12" w:space="6" w:color="auto" w:shadow="1"/>
        </w:pBdr>
      </w:pPr>
      <w:r>
        <w:t>Bekenntnis zur freiheitlichen demokratischen Grundordnung</w:t>
      </w:r>
    </w:p>
    <w:p w14:paraId="2ADC2B6E" w14:textId="77777777" w:rsidR="002108D2" w:rsidRDefault="002108D2">
      <w:pPr>
        <w:rPr>
          <w:sz w:val="20"/>
        </w:rPr>
      </w:pPr>
    </w:p>
    <w:p w14:paraId="5B7AE3CA" w14:textId="77777777" w:rsidR="002108D2" w:rsidRDefault="002108D2">
      <w:pPr>
        <w:rPr>
          <w:sz w:val="20"/>
        </w:rPr>
      </w:pPr>
    </w:p>
    <w:p w14:paraId="1481AB81" w14:textId="77777777" w:rsidR="002108D2" w:rsidRDefault="000038E1">
      <w:pPr>
        <w:pStyle w:val="Textkrper"/>
        <w:pBdr>
          <w:top w:val="single" w:sz="12" w:space="1" w:color="auto"/>
          <w:left w:val="single" w:sz="12" w:space="4" w:color="auto"/>
          <w:bottom w:val="single" w:sz="12" w:space="1" w:color="auto"/>
          <w:right w:val="single" w:sz="12" w:space="4" w:color="auto"/>
        </w:pBdr>
        <w:shd w:val="clear" w:color="auto" w:fill="E6E6E6"/>
        <w:rPr>
          <w:sz w:val="24"/>
        </w:rPr>
      </w:pPr>
      <w:r>
        <w:rPr>
          <w:sz w:val="24"/>
        </w:rPr>
        <w:t>Freiheitliche demokratische Grundordnung im Sinne des Grundgesetzes ist eine Staatsform, die keine Gewalt- und Willkürherrschaft kennt. Die Staatsgewalt wird vom Volke über die von ihm gewählten Vertreter im Parlament ausgeübt. Sie beinhaltet einen Rechtsstaat, der Menschenwürde, Freiheit und Gleichheit jedes Einzelnen schützt.</w:t>
      </w:r>
    </w:p>
    <w:p w14:paraId="4D9D35A6" w14:textId="77777777" w:rsidR="002108D2" w:rsidRDefault="002108D2">
      <w:pPr>
        <w:rPr>
          <w:sz w:val="20"/>
        </w:rPr>
      </w:pPr>
    </w:p>
    <w:p w14:paraId="23200D94" w14:textId="77777777" w:rsidR="002108D2" w:rsidRDefault="002108D2">
      <w:pPr>
        <w:rPr>
          <w:sz w:val="20"/>
        </w:rPr>
      </w:pPr>
    </w:p>
    <w:p w14:paraId="1FB5AC4D" w14:textId="77777777" w:rsidR="002108D2" w:rsidRDefault="000038E1">
      <w:pPr>
        <w:rPr>
          <w:b/>
          <w:bCs/>
          <w:sz w:val="28"/>
        </w:rPr>
      </w:pPr>
      <w:r>
        <w:rPr>
          <w:b/>
          <w:bCs/>
          <w:sz w:val="28"/>
        </w:rPr>
        <w:t>Was bedeutet dies konkret?</w:t>
      </w:r>
    </w:p>
    <w:p w14:paraId="179FCF08" w14:textId="77777777" w:rsidR="002108D2" w:rsidRDefault="002108D2">
      <w:pPr>
        <w:rPr>
          <w:sz w:val="20"/>
        </w:rPr>
      </w:pPr>
    </w:p>
    <w:p w14:paraId="68D61D33" w14:textId="77777777" w:rsidR="002108D2" w:rsidRDefault="002108D2">
      <w:pPr>
        <w:rPr>
          <w:sz w:val="20"/>
        </w:rPr>
      </w:pPr>
    </w:p>
    <w:p w14:paraId="792B2FAD" w14:textId="77777777" w:rsidR="002108D2" w:rsidRDefault="000038E1">
      <w:pPr>
        <w:spacing w:line="360" w:lineRule="auto"/>
        <w:jc w:val="both"/>
      </w:pPr>
      <w:r>
        <w:t xml:space="preserve">Die freiheitliche demokratische Grundordnung ist Grundlage für das friedliche Zusammenleben der Menschen in der Bundesrepublik Deutschland. In diesem Begriff fasst man die </w:t>
      </w:r>
      <w:r>
        <w:rPr>
          <w:b/>
          <w:bCs/>
        </w:rPr>
        <w:t>Wertvorstellungen des Grundgesetzes</w:t>
      </w:r>
      <w:r>
        <w:t xml:space="preserve"> zusammen. Zu den grundlegenden Prinzipien der freiheitlichen demokratischen Grundordnung zählen insbesondere</w:t>
      </w:r>
    </w:p>
    <w:p w14:paraId="08D0ED3F" w14:textId="77777777" w:rsidR="002108D2" w:rsidRDefault="002108D2">
      <w:pPr>
        <w:spacing w:line="360" w:lineRule="auto"/>
        <w:jc w:val="both"/>
      </w:pPr>
    </w:p>
    <w:p w14:paraId="522A44DB" w14:textId="77777777" w:rsidR="002108D2" w:rsidRDefault="000038E1">
      <w:pPr>
        <w:numPr>
          <w:ilvl w:val="0"/>
          <w:numId w:val="32"/>
        </w:numPr>
        <w:spacing w:line="360" w:lineRule="auto"/>
        <w:jc w:val="both"/>
      </w:pPr>
      <w:r>
        <w:t>die Achtung der Menschenrechte, vor allem das Recht jedes Menschen auf Leben und freie Entfaltung und Gleichbehandlung (hierzu zählt auch die Gleichberechtigung von Frau und Mann)</w:t>
      </w:r>
    </w:p>
    <w:p w14:paraId="3AA05D86" w14:textId="77777777" w:rsidR="002108D2" w:rsidRDefault="000038E1">
      <w:pPr>
        <w:numPr>
          <w:ilvl w:val="0"/>
          <w:numId w:val="32"/>
        </w:numPr>
        <w:spacing w:line="360" w:lineRule="auto"/>
        <w:jc w:val="both"/>
      </w:pPr>
      <w:r>
        <w:t>die Souveränität des Volkes,</w:t>
      </w:r>
    </w:p>
    <w:p w14:paraId="3530C0F6" w14:textId="77777777" w:rsidR="002108D2" w:rsidRDefault="000038E1">
      <w:pPr>
        <w:numPr>
          <w:ilvl w:val="0"/>
          <w:numId w:val="32"/>
        </w:numPr>
        <w:spacing w:line="360" w:lineRule="auto"/>
        <w:jc w:val="both"/>
      </w:pPr>
      <w:r>
        <w:t>die Gewaltenteilung,</w:t>
      </w:r>
    </w:p>
    <w:p w14:paraId="2A676AB2" w14:textId="77777777" w:rsidR="002108D2" w:rsidRDefault="000038E1">
      <w:pPr>
        <w:numPr>
          <w:ilvl w:val="0"/>
          <w:numId w:val="32"/>
        </w:numPr>
        <w:spacing w:line="360" w:lineRule="auto"/>
        <w:jc w:val="both"/>
      </w:pPr>
      <w:r>
        <w:t>die Verantwortlichkeit der Regierung,</w:t>
      </w:r>
    </w:p>
    <w:p w14:paraId="5C74F386" w14:textId="77777777" w:rsidR="002108D2" w:rsidRDefault="000038E1">
      <w:pPr>
        <w:numPr>
          <w:ilvl w:val="0"/>
          <w:numId w:val="32"/>
        </w:numPr>
        <w:spacing w:line="360" w:lineRule="auto"/>
        <w:jc w:val="both"/>
      </w:pPr>
      <w:r>
        <w:t>die Gesetzmäßigkeit der Verwaltung,</w:t>
      </w:r>
    </w:p>
    <w:p w14:paraId="0DAF32C0" w14:textId="77777777" w:rsidR="002108D2" w:rsidRDefault="000038E1">
      <w:pPr>
        <w:numPr>
          <w:ilvl w:val="0"/>
          <w:numId w:val="32"/>
        </w:numPr>
        <w:spacing w:line="360" w:lineRule="auto"/>
        <w:jc w:val="both"/>
      </w:pPr>
      <w:r>
        <w:t>die Unabhängigkeit der Gerichte,</w:t>
      </w:r>
    </w:p>
    <w:p w14:paraId="153AA5C7" w14:textId="77777777" w:rsidR="002108D2" w:rsidRDefault="000038E1">
      <w:pPr>
        <w:numPr>
          <w:ilvl w:val="0"/>
          <w:numId w:val="32"/>
        </w:numPr>
        <w:spacing w:line="360" w:lineRule="auto"/>
        <w:jc w:val="both"/>
      </w:pPr>
      <w:r>
        <w:t>das Mehrparteienprinzip und die Chancengleichheit für alle Parteien mit dem Recht auf verfassungsmäßige Bildung und Ausübung einer Opposition.</w:t>
      </w:r>
    </w:p>
    <w:p w14:paraId="05F67559" w14:textId="77777777" w:rsidR="002108D2" w:rsidRDefault="002108D2">
      <w:pPr>
        <w:spacing w:line="360" w:lineRule="auto"/>
        <w:ind w:left="360"/>
        <w:jc w:val="both"/>
      </w:pPr>
    </w:p>
    <w:p w14:paraId="5B0097B2" w14:textId="77777777" w:rsidR="002108D2" w:rsidRDefault="000038E1">
      <w:pPr>
        <w:spacing w:line="360" w:lineRule="auto"/>
        <w:jc w:val="both"/>
      </w:pPr>
      <w:r>
        <w:t>Auf der nächsten Seite werden Ihnen diese Grundwerte der deutschen Verfassung näher erläutert:</w:t>
      </w:r>
    </w:p>
    <w:p w14:paraId="40C862A1" w14:textId="77777777" w:rsidR="002108D2" w:rsidRDefault="002108D2">
      <w:pPr>
        <w:jc w:val="right"/>
      </w:pPr>
    </w:p>
    <w:p w14:paraId="627C8198" w14:textId="77777777" w:rsidR="002108D2" w:rsidRDefault="002108D2">
      <w:pPr>
        <w:jc w:val="right"/>
      </w:pPr>
    </w:p>
    <w:p w14:paraId="5D848C84" w14:textId="77777777" w:rsidR="002108D2" w:rsidRDefault="000038E1">
      <w:pPr>
        <w:jc w:val="right"/>
      </w:pPr>
      <w:r>
        <w:t>- weiter auf Seite 2 -</w:t>
      </w:r>
    </w:p>
    <w:p w14:paraId="410F9E29" w14:textId="77777777" w:rsidR="002108D2" w:rsidRDefault="000038E1">
      <w:pPr>
        <w:rPr>
          <w:sz w:val="20"/>
        </w:rPr>
      </w:pPr>
      <w:r>
        <w:rPr>
          <w:sz w:val="20"/>
        </w:rPr>
        <w:br w:type="page"/>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84"/>
      </w:tblGrid>
      <w:tr w:rsidR="002108D2" w14:paraId="6E0963AA" w14:textId="77777777">
        <w:tc>
          <w:tcPr>
            <w:tcW w:w="9284" w:type="dxa"/>
          </w:tcPr>
          <w:p w14:paraId="0F336E8D" w14:textId="77777777" w:rsidR="002108D2" w:rsidRDefault="002108D2">
            <w:pPr>
              <w:ind w:left="360"/>
              <w:rPr>
                <w:b/>
                <w:bCs/>
                <w:sz w:val="20"/>
              </w:rPr>
            </w:pPr>
          </w:p>
          <w:p w14:paraId="4324E107" w14:textId="77777777" w:rsidR="002108D2" w:rsidRDefault="000038E1">
            <w:pPr>
              <w:ind w:left="639" w:hanging="279"/>
              <w:rPr>
                <w:b/>
                <w:bCs/>
                <w:sz w:val="20"/>
              </w:rPr>
            </w:pPr>
            <w:r>
              <w:rPr>
                <w:b/>
                <w:bCs/>
                <w:sz w:val="20"/>
              </w:rPr>
              <w:t>1.  Demokratie und Volksherrschaft</w:t>
            </w:r>
          </w:p>
          <w:p w14:paraId="78D9A028" w14:textId="77777777" w:rsidR="002108D2" w:rsidRDefault="002108D2">
            <w:pPr>
              <w:ind w:left="360"/>
              <w:rPr>
                <w:sz w:val="20"/>
              </w:rPr>
            </w:pPr>
          </w:p>
          <w:p w14:paraId="4FE21DD5" w14:textId="77777777" w:rsidR="002108D2" w:rsidRDefault="000038E1">
            <w:pPr>
              <w:ind w:left="360"/>
              <w:rPr>
                <w:sz w:val="20"/>
              </w:rPr>
            </w:pPr>
            <w:r>
              <w:rPr>
                <w:sz w:val="20"/>
              </w:rPr>
              <w:t>Nach dem Grundgesetz geht alle Staatsgewalt vom Volke aus. Das Volk bestimmt in regelmäßigen Wahlen Vertreter im Bund, in den Ländern und in den Gemeinden.  Diese nehmen die Interessen der jeweiligen Ebene, für die sie gewählt wurden, wahr und treffen die Entscheidungen nach dem Mehrheitsprinzip.</w:t>
            </w:r>
          </w:p>
          <w:p w14:paraId="309F6599" w14:textId="77777777" w:rsidR="002108D2" w:rsidRDefault="002108D2">
            <w:pPr>
              <w:ind w:left="360"/>
              <w:rPr>
                <w:sz w:val="20"/>
              </w:rPr>
            </w:pPr>
          </w:p>
        </w:tc>
      </w:tr>
      <w:tr w:rsidR="002108D2" w14:paraId="192CC7A8" w14:textId="77777777">
        <w:tc>
          <w:tcPr>
            <w:tcW w:w="9284" w:type="dxa"/>
          </w:tcPr>
          <w:p w14:paraId="79415CBA" w14:textId="77777777" w:rsidR="002108D2" w:rsidRDefault="002108D2">
            <w:pPr>
              <w:ind w:left="360"/>
              <w:rPr>
                <w:b/>
                <w:bCs/>
                <w:sz w:val="20"/>
              </w:rPr>
            </w:pPr>
          </w:p>
          <w:p w14:paraId="5B8F4208" w14:textId="77777777" w:rsidR="002108D2" w:rsidRDefault="000038E1">
            <w:pPr>
              <w:numPr>
                <w:ilvl w:val="0"/>
                <w:numId w:val="33"/>
              </w:numPr>
              <w:ind w:left="639" w:hanging="279"/>
              <w:rPr>
                <w:b/>
                <w:bCs/>
                <w:sz w:val="20"/>
              </w:rPr>
            </w:pPr>
            <w:r>
              <w:rPr>
                <w:b/>
                <w:bCs/>
                <w:sz w:val="20"/>
              </w:rPr>
              <w:t>Achtung der Grundrechte</w:t>
            </w:r>
          </w:p>
          <w:p w14:paraId="21E50D7E" w14:textId="77777777" w:rsidR="002108D2" w:rsidRDefault="002108D2">
            <w:pPr>
              <w:ind w:left="357"/>
              <w:rPr>
                <w:sz w:val="20"/>
              </w:rPr>
            </w:pPr>
          </w:p>
          <w:p w14:paraId="6B43536B" w14:textId="77777777" w:rsidR="002108D2" w:rsidRDefault="000038E1">
            <w:pPr>
              <w:ind w:left="357"/>
              <w:rPr>
                <w:sz w:val="20"/>
              </w:rPr>
            </w:pPr>
            <w:r>
              <w:rPr>
                <w:sz w:val="20"/>
              </w:rPr>
              <w:t>Die Grundrechte ermöglichen es dem Einzelnen unter anderem, sich gegen deren Beeinträchtigung durch den Staat zu wehren. Der Staat hat die Grundrechte eines jeden Menschen zu schützen, aber auch gegen andere Menschen Personenvereinigungen und Organisationen. Jeder Mensch hat Anspruch auf freie Entfaltung seiner Persönlichkeit. Niemand darf andere in ihrer freien Selbstbestimmung beeinträchtigen z.B. hinsichtlich der religiösen Betätigung sowie des Zugangs zu Informationen, zur Bildung und zum Berufsleben. Männer und Frauen sind gleichberechtigt.</w:t>
            </w:r>
          </w:p>
          <w:p w14:paraId="10E41600" w14:textId="77777777" w:rsidR="002108D2" w:rsidRDefault="002108D2">
            <w:pPr>
              <w:ind w:left="357"/>
              <w:rPr>
                <w:sz w:val="20"/>
              </w:rPr>
            </w:pPr>
          </w:p>
        </w:tc>
      </w:tr>
      <w:tr w:rsidR="002108D2" w14:paraId="2DC3AAE1" w14:textId="77777777">
        <w:tc>
          <w:tcPr>
            <w:tcW w:w="9284" w:type="dxa"/>
          </w:tcPr>
          <w:p w14:paraId="65F440B6" w14:textId="77777777" w:rsidR="002108D2" w:rsidRDefault="002108D2">
            <w:pPr>
              <w:ind w:left="360"/>
              <w:rPr>
                <w:b/>
                <w:bCs/>
                <w:sz w:val="20"/>
              </w:rPr>
            </w:pPr>
          </w:p>
          <w:p w14:paraId="6663674C" w14:textId="77777777" w:rsidR="002108D2" w:rsidRDefault="000038E1">
            <w:pPr>
              <w:numPr>
                <w:ilvl w:val="0"/>
                <w:numId w:val="33"/>
              </w:numPr>
              <w:ind w:left="639" w:hanging="279"/>
              <w:rPr>
                <w:b/>
                <w:bCs/>
                <w:sz w:val="20"/>
              </w:rPr>
            </w:pPr>
            <w:r>
              <w:rPr>
                <w:b/>
                <w:bCs/>
                <w:sz w:val="20"/>
              </w:rPr>
              <w:t>Gewaltenteilung</w:t>
            </w:r>
          </w:p>
          <w:p w14:paraId="0E7EBF01" w14:textId="77777777" w:rsidR="002108D2" w:rsidRDefault="002108D2">
            <w:pPr>
              <w:ind w:left="360"/>
              <w:rPr>
                <w:sz w:val="20"/>
              </w:rPr>
            </w:pPr>
          </w:p>
          <w:p w14:paraId="2F724E86" w14:textId="77777777" w:rsidR="002108D2" w:rsidRDefault="000038E1">
            <w:pPr>
              <w:ind w:left="360"/>
              <w:rPr>
                <w:sz w:val="20"/>
              </w:rPr>
            </w:pPr>
            <w:r>
              <w:rPr>
                <w:sz w:val="20"/>
              </w:rPr>
              <w:t>Der Grundsatz der Gewaltenteilung dient der Hemmung und Kontrolle staatlicher Macht. Die vom Volk ausgehende Staatsgewalt (siehe oben unter 1.) wird durch besondere Organe der Gesetzgebung (Parlamente), der vollziehenden Gewalt (Regierungen und Verwaltungen) und der Rechtsprechung (Gerichte) ausgeübt. Die Parlamente kontrollieren die Arbeit der Regierung.</w:t>
            </w:r>
          </w:p>
          <w:p w14:paraId="4F3B3741" w14:textId="77777777" w:rsidR="002108D2" w:rsidRDefault="002108D2">
            <w:pPr>
              <w:ind w:left="360"/>
              <w:rPr>
                <w:sz w:val="20"/>
              </w:rPr>
            </w:pPr>
          </w:p>
        </w:tc>
      </w:tr>
      <w:tr w:rsidR="002108D2" w14:paraId="4D9B47ED" w14:textId="77777777">
        <w:tc>
          <w:tcPr>
            <w:tcW w:w="9284" w:type="dxa"/>
          </w:tcPr>
          <w:p w14:paraId="467F53A7" w14:textId="77777777" w:rsidR="002108D2" w:rsidRDefault="002108D2">
            <w:pPr>
              <w:ind w:left="360"/>
              <w:rPr>
                <w:b/>
                <w:bCs/>
                <w:sz w:val="20"/>
              </w:rPr>
            </w:pPr>
          </w:p>
          <w:p w14:paraId="1DB90650" w14:textId="77777777" w:rsidR="002108D2" w:rsidRDefault="000038E1">
            <w:pPr>
              <w:numPr>
                <w:ilvl w:val="0"/>
                <w:numId w:val="33"/>
              </w:numPr>
              <w:ind w:left="639" w:hanging="279"/>
              <w:rPr>
                <w:b/>
                <w:bCs/>
                <w:sz w:val="20"/>
              </w:rPr>
            </w:pPr>
            <w:r>
              <w:rPr>
                <w:b/>
                <w:bCs/>
                <w:sz w:val="20"/>
              </w:rPr>
              <w:t>Rechtsstaatsprinzip</w:t>
            </w:r>
          </w:p>
          <w:p w14:paraId="5E33D9F7" w14:textId="77777777" w:rsidR="002108D2" w:rsidRDefault="002108D2">
            <w:pPr>
              <w:ind w:left="360"/>
              <w:rPr>
                <w:sz w:val="20"/>
              </w:rPr>
            </w:pPr>
          </w:p>
          <w:p w14:paraId="063DCDB3" w14:textId="77777777" w:rsidR="002108D2" w:rsidRDefault="000038E1">
            <w:pPr>
              <w:ind w:left="360"/>
              <w:rPr>
                <w:sz w:val="20"/>
              </w:rPr>
            </w:pPr>
            <w:r>
              <w:rPr>
                <w:sz w:val="20"/>
              </w:rPr>
              <w:t>Das Rechtsstaatsprinzip gewährleistet vor allem, dass Regierung und Verwaltung die Gesetze einhalten und es einen gerichtlichen Rechtsschutz bei Rechtsverletzungen durch die öffentliche Gewalt gibt. Jedem Bürger steht der Weg zu den Gerichten offen.</w:t>
            </w:r>
          </w:p>
          <w:p w14:paraId="0C08EDE6" w14:textId="77777777" w:rsidR="002108D2" w:rsidRDefault="002108D2">
            <w:pPr>
              <w:ind w:left="360"/>
              <w:rPr>
                <w:b/>
                <w:bCs/>
                <w:sz w:val="20"/>
              </w:rPr>
            </w:pPr>
          </w:p>
        </w:tc>
      </w:tr>
      <w:tr w:rsidR="002108D2" w14:paraId="1FA23510" w14:textId="77777777">
        <w:tc>
          <w:tcPr>
            <w:tcW w:w="9284" w:type="dxa"/>
          </w:tcPr>
          <w:p w14:paraId="592331DA" w14:textId="77777777" w:rsidR="002108D2" w:rsidRDefault="002108D2">
            <w:pPr>
              <w:ind w:left="360"/>
              <w:rPr>
                <w:b/>
                <w:bCs/>
                <w:sz w:val="20"/>
              </w:rPr>
            </w:pPr>
          </w:p>
          <w:p w14:paraId="363C6178" w14:textId="77777777" w:rsidR="002108D2" w:rsidRDefault="000038E1">
            <w:pPr>
              <w:numPr>
                <w:ilvl w:val="0"/>
                <w:numId w:val="33"/>
              </w:numPr>
              <w:ind w:left="639" w:hanging="279"/>
              <w:rPr>
                <w:b/>
                <w:bCs/>
                <w:sz w:val="20"/>
              </w:rPr>
            </w:pPr>
            <w:r>
              <w:rPr>
                <w:b/>
                <w:bCs/>
                <w:sz w:val="20"/>
              </w:rPr>
              <w:t>Gesetzmäßigkeit der Verwaltung</w:t>
            </w:r>
          </w:p>
          <w:p w14:paraId="45741A4D" w14:textId="77777777" w:rsidR="002108D2" w:rsidRDefault="002108D2">
            <w:pPr>
              <w:ind w:left="360"/>
              <w:rPr>
                <w:sz w:val="20"/>
              </w:rPr>
            </w:pPr>
          </w:p>
          <w:p w14:paraId="1221D06C" w14:textId="77777777" w:rsidR="002108D2" w:rsidRDefault="000038E1">
            <w:pPr>
              <w:ind w:left="360"/>
              <w:rPr>
                <w:sz w:val="20"/>
              </w:rPr>
            </w:pPr>
            <w:r>
              <w:rPr>
                <w:sz w:val="20"/>
              </w:rPr>
              <w:t xml:space="preserve">Die Verwaltungen müssen die Gesetze beachten und anwenden. Maßnahmen, die in Rechte des Bürgers eingreifen, bedürfen zu ihrer Rechtfertigung grundsätzlich einer gesetzlichen Grundlage, die diese Maßnahmen zulässt oder erlaubt.   </w:t>
            </w:r>
          </w:p>
          <w:p w14:paraId="3645678C" w14:textId="77777777" w:rsidR="002108D2" w:rsidRDefault="002108D2">
            <w:pPr>
              <w:ind w:left="360"/>
              <w:rPr>
                <w:sz w:val="20"/>
              </w:rPr>
            </w:pPr>
          </w:p>
        </w:tc>
      </w:tr>
      <w:tr w:rsidR="002108D2" w14:paraId="0CE91ACC" w14:textId="77777777">
        <w:tc>
          <w:tcPr>
            <w:tcW w:w="9284" w:type="dxa"/>
          </w:tcPr>
          <w:p w14:paraId="2CDA5A11" w14:textId="77777777" w:rsidR="002108D2" w:rsidRDefault="002108D2">
            <w:pPr>
              <w:ind w:left="360"/>
              <w:rPr>
                <w:b/>
                <w:bCs/>
                <w:sz w:val="20"/>
              </w:rPr>
            </w:pPr>
          </w:p>
          <w:p w14:paraId="4FBDFAF1" w14:textId="77777777" w:rsidR="002108D2" w:rsidRDefault="000038E1">
            <w:pPr>
              <w:numPr>
                <w:ilvl w:val="0"/>
                <w:numId w:val="33"/>
              </w:numPr>
              <w:ind w:left="639" w:hanging="279"/>
              <w:rPr>
                <w:b/>
                <w:bCs/>
                <w:sz w:val="20"/>
              </w:rPr>
            </w:pPr>
            <w:r>
              <w:rPr>
                <w:b/>
                <w:bCs/>
                <w:sz w:val="20"/>
              </w:rPr>
              <w:t>Unabhängigkeit der Gerichte</w:t>
            </w:r>
          </w:p>
          <w:p w14:paraId="4650D54E" w14:textId="77777777" w:rsidR="002108D2" w:rsidRDefault="002108D2">
            <w:pPr>
              <w:ind w:left="360"/>
              <w:rPr>
                <w:sz w:val="20"/>
              </w:rPr>
            </w:pPr>
          </w:p>
          <w:p w14:paraId="2613DE70" w14:textId="77777777" w:rsidR="002108D2" w:rsidRDefault="000038E1">
            <w:pPr>
              <w:ind w:left="360"/>
              <w:rPr>
                <w:sz w:val="20"/>
              </w:rPr>
            </w:pPr>
            <w:r>
              <w:rPr>
                <w:sz w:val="20"/>
              </w:rPr>
              <w:t>Die Gerichte sind unabhängig. Sie können von Regierungen oder Parlamenten nicht kontrolliert werden. Die Richter sind nur ihrem Gewissen bei der Rechtsanwendung verpflichtet. Jeder Bürger hat einen Anspruch auf einen fairen Prozess.</w:t>
            </w:r>
          </w:p>
          <w:p w14:paraId="63494501" w14:textId="77777777" w:rsidR="002108D2" w:rsidRDefault="002108D2">
            <w:pPr>
              <w:ind w:left="360"/>
              <w:rPr>
                <w:sz w:val="20"/>
              </w:rPr>
            </w:pPr>
          </w:p>
        </w:tc>
      </w:tr>
      <w:tr w:rsidR="002108D2" w14:paraId="36F6E9F7" w14:textId="77777777">
        <w:tc>
          <w:tcPr>
            <w:tcW w:w="9284" w:type="dxa"/>
          </w:tcPr>
          <w:p w14:paraId="65B5B902" w14:textId="77777777" w:rsidR="002108D2" w:rsidRDefault="002108D2">
            <w:pPr>
              <w:ind w:left="360"/>
              <w:rPr>
                <w:b/>
                <w:bCs/>
                <w:sz w:val="20"/>
              </w:rPr>
            </w:pPr>
          </w:p>
          <w:p w14:paraId="078764B6" w14:textId="77777777" w:rsidR="002108D2" w:rsidRDefault="000038E1">
            <w:pPr>
              <w:numPr>
                <w:ilvl w:val="0"/>
                <w:numId w:val="33"/>
              </w:numPr>
              <w:ind w:left="639" w:hanging="279"/>
              <w:rPr>
                <w:b/>
                <w:bCs/>
                <w:sz w:val="20"/>
              </w:rPr>
            </w:pPr>
            <w:r>
              <w:rPr>
                <w:b/>
                <w:bCs/>
                <w:sz w:val="20"/>
              </w:rPr>
              <w:t xml:space="preserve">Mehrparteienprinzip und Chancengleichheit der politischen Parteien </w:t>
            </w:r>
          </w:p>
          <w:p w14:paraId="702F4B91" w14:textId="77777777" w:rsidR="002108D2" w:rsidRDefault="002108D2">
            <w:pPr>
              <w:ind w:left="360"/>
              <w:rPr>
                <w:sz w:val="20"/>
              </w:rPr>
            </w:pPr>
          </w:p>
          <w:p w14:paraId="6172F561" w14:textId="77777777" w:rsidR="002108D2" w:rsidRDefault="000038E1">
            <w:pPr>
              <w:ind w:left="360"/>
              <w:rPr>
                <w:sz w:val="20"/>
              </w:rPr>
            </w:pPr>
            <w:r>
              <w:rPr>
                <w:sz w:val="20"/>
              </w:rPr>
              <w:t xml:space="preserve">Ein wesentliches Merkmal der freiheitlichen demokratischen Grundordnung ist, dass es verschiedene Parteien gibt. Alle Parteien haben die gleichen Chancen, ihre politischen Vorstellungen in die Tat umzusetzen. Gründung, Bestand und Tätigkeit der Parteien sind frei von staatlichen Einflüssen und Eingriffen. Bei Wahlen haben alle Parteien die gleichen Möglichkeiten, für sich zu werben und gewählt zu werden. Durch das Mehrparteienprinzip wird die Meinungsvielfalt im öffentlichen Leben gewährleistet. </w:t>
            </w:r>
          </w:p>
          <w:p w14:paraId="123C863F" w14:textId="77777777" w:rsidR="002108D2" w:rsidRDefault="002108D2">
            <w:pPr>
              <w:ind w:left="360"/>
              <w:rPr>
                <w:sz w:val="20"/>
              </w:rPr>
            </w:pPr>
          </w:p>
        </w:tc>
      </w:tr>
      <w:tr w:rsidR="002108D2" w14:paraId="6DB293FB" w14:textId="77777777">
        <w:tc>
          <w:tcPr>
            <w:tcW w:w="9284" w:type="dxa"/>
          </w:tcPr>
          <w:p w14:paraId="397A82B8" w14:textId="77777777" w:rsidR="002108D2" w:rsidRDefault="002108D2">
            <w:pPr>
              <w:ind w:left="360"/>
              <w:rPr>
                <w:b/>
                <w:bCs/>
                <w:sz w:val="20"/>
              </w:rPr>
            </w:pPr>
          </w:p>
          <w:p w14:paraId="2BF5AC74" w14:textId="77777777" w:rsidR="002108D2" w:rsidRDefault="000038E1">
            <w:pPr>
              <w:numPr>
                <w:ilvl w:val="0"/>
                <w:numId w:val="33"/>
              </w:numPr>
              <w:ind w:left="639" w:hanging="279"/>
              <w:rPr>
                <w:b/>
                <w:bCs/>
                <w:sz w:val="20"/>
              </w:rPr>
            </w:pPr>
            <w:r>
              <w:rPr>
                <w:b/>
                <w:bCs/>
                <w:sz w:val="20"/>
              </w:rPr>
              <w:t>Recht auf verfassungsmäßige Bildung und Ausübung einer Opposition</w:t>
            </w:r>
          </w:p>
          <w:p w14:paraId="0AE5AF4B" w14:textId="77777777" w:rsidR="002108D2" w:rsidRDefault="002108D2">
            <w:pPr>
              <w:ind w:left="360"/>
              <w:rPr>
                <w:sz w:val="20"/>
              </w:rPr>
            </w:pPr>
          </w:p>
          <w:p w14:paraId="288278DC" w14:textId="77777777" w:rsidR="002108D2" w:rsidRDefault="000038E1">
            <w:pPr>
              <w:ind w:left="360"/>
              <w:rPr>
                <w:sz w:val="20"/>
              </w:rPr>
            </w:pPr>
            <w:r>
              <w:rPr>
                <w:sz w:val="20"/>
              </w:rPr>
              <w:t xml:space="preserve">Die Opposition bildet das politische Gegengewicht zur Regierung und hat die Aufgabe sie zu kontrollieren.  Sie kann Gesetzentwürfe einbringen. Die Regierung darf die Opposition nicht in ihrer Arbeit behindern. </w:t>
            </w:r>
          </w:p>
          <w:p w14:paraId="306354A2" w14:textId="77777777" w:rsidR="002108D2" w:rsidRDefault="002108D2">
            <w:pPr>
              <w:ind w:left="360"/>
              <w:rPr>
                <w:sz w:val="20"/>
              </w:rPr>
            </w:pPr>
          </w:p>
        </w:tc>
      </w:tr>
    </w:tbl>
    <w:p w14:paraId="76E3E8CF" w14:textId="77777777" w:rsidR="002108D2" w:rsidRDefault="002108D2">
      <w:pPr>
        <w:ind w:left="360"/>
        <w:jc w:val="right"/>
      </w:pPr>
    </w:p>
    <w:p w14:paraId="20674B4E" w14:textId="77777777" w:rsidR="002108D2" w:rsidRDefault="000038E1">
      <w:pPr>
        <w:ind w:left="360"/>
        <w:jc w:val="right"/>
      </w:pPr>
      <w:r>
        <w:t>- weiter auf Seite 3 -</w:t>
      </w:r>
    </w:p>
    <w:p w14:paraId="35C0BDC9" w14:textId="77777777" w:rsidR="002108D2" w:rsidRDefault="002108D2">
      <w:pPr>
        <w:ind w:left="360"/>
      </w:pPr>
    </w:p>
    <w:p w14:paraId="3E3DA8AD" w14:textId="77777777" w:rsidR="002108D2" w:rsidRDefault="000038E1">
      <w:pPr>
        <w:spacing w:line="360" w:lineRule="auto"/>
        <w:jc w:val="both"/>
      </w:pPr>
      <w:r>
        <w:lastRenderedPageBreak/>
        <w:t xml:space="preserve">Für </w:t>
      </w:r>
      <w:r>
        <w:rPr>
          <w:b/>
          <w:bCs/>
        </w:rPr>
        <w:t>Ihre Einbürgerung</w:t>
      </w:r>
      <w:r>
        <w:t xml:space="preserve"> ist es wichtig, dass Sie die eben beschriebenen Elemente der freiheitlichen demokratischen Grundordnung verstanden und akzeptiert haben. Bitte stellen Sie Fragen, wenn Ihnen hierzu noch etwas unklar ist.</w:t>
      </w:r>
    </w:p>
    <w:p w14:paraId="5E7CDAD3" w14:textId="77777777" w:rsidR="002108D2" w:rsidRDefault="002108D2">
      <w:pPr>
        <w:spacing w:line="360" w:lineRule="auto"/>
        <w:ind w:left="360"/>
        <w:jc w:val="both"/>
      </w:pPr>
    </w:p>
    <w:p w14:paraId="76E3B2A8" w14:textId="77777777" w:rsidR="002108D2" w:rsidRDefault="000038E1">
      <w:pPr>
        <w:spacing w:line="360" w:lineRule="auto"/>
        <w:jc w:val="both"/>
      </w:pPr>
      <w:r>
        <w:rPr>
          <w:b/>
          <w:bCs/>
        </w:rPr>
        <w:t>Mit Ihrer Unterschrift bekennen Sie sich zu den Grundwerten der</w:t>
      </w:r>
      <w:r>
        <w:t xml:space="preserve"> </w:t>
      </w:r>
      <w:r>
        <w:rPr>
          <w:b/>
          <w:bCs/>
        </w:rPr>
        <w:t>freiheitlichen demokratischen Grundordnung.</w:t>
      </w:r>
    </w:p>
    <w:p w14:paraId="1849C75A" w14:textId="77777777" w:rsidR="002108D2" w:rsidRDefault="002108D2">
      <w:pPr>
        <w:spacing w:line="360" w:lineRule="auto"/>
        <w:ind w:left="360"/>
        <w:jc w:val="both"/>
      </w:pPr>
    </w:p>
    <w:p w14:paraId="617185F6" w14:textId="77777777" w:rsidR="002108D2" w:rsidRDefault="002108D2">
      <w:pPr>
        <w:spacing w:line="360" w:lineRule="auto"/>
        <w:ind w:left="360"/>
        <w:jc w:val="both"/>
      </w:pPr>
    </w:p>
    <w:p w14:paraId="5B2D0608" w14:textId="77777777" w:rsidR="002108D2" w:rsidRDefault="000038E1">
      <w:pPr>
        <w:spacing w:line="360" w:lineRule="auto"/>
        <w:jc w:val="both"/>
      </w:pPr>
      <w:r>
        <w:rPr>
          <w:b/>
          <w:bCs/>
        </w:rPr>
        <w:t>Durch Ihre Unterschrift erklären Sie aber auch</w:t>
      </w:r>
      <w:r>
        <w:t xml:space="preserve">, </w:t>
      </w:r>
    </w:p>
    <w:p w14:paraId="694D4EAD" w14:textId="77777777" w:rsidR="002108D2" w:rsidRDefault="002108D2">
      <w:pPr>
        <w:spacing w:line="360" w:lineRule="auto"/>
        <w:jc w:val="both"/>
      </w:pPr>
    </w:p>
    <w:p w14:paraId="55D020A8" w14:textId="77777777" w:rsidR="002108D2" w:rsidRDefault="000038E1">
      <w:pPr>
        <w:numPr>
          <w:ilvl w:val="0"/>
          <w:numId w:val="31"/>
        </w:numPr>
        <w:spacing w:line="360" w:lineRule="auto"/>
        <w:jc w:val="both"/>
      </w:pPr>
      <w:r>
        <w:t>dass Sie keine Bestrebungen unterstützen oder selbst verfolgen, die sich gegen die freiheitliche demokratische Grundordnung wenden,</w:t>
      </w:r>
    </w:p>
    <w:p w14:paraId="2C81B6C2" w14:textId="77777777" w:rsidR="002108D2" w:rsidRDefault="000038E1">
      <w:pPr>
        <w:numPr>
          <w:ilvl w:val="0"/>
          <w:numId w:val="31"/>
        </w:numPr>
        <w:spacing w:line="360" w:lineRule="auto"/>
        <w:jc w:val="both"/>
      </w:pPr>
      <w:r>
        <w:t>dass sich Ihre Handlungen nicht gegen den Bestand der Bundesrepublik Deutschland wenden,</w:t>
      </w:r>
    </w:p>
    <w:p w14:paraId="074CEF45" w14:textId="77777777" w:rsidR="002108D2" w:rsidRDefault="000038E1">
      <w:pPr>
        <w:numPr>
          <w:ilvl w:val="0"/>
          <w:numId w:val="31"/>
        </w:numPr>
        <w:spacing w:line="360" w:lineRule="auto"/>
        <w:jc w:val="both"/>
      </w:pPr>
      <w:r>
        <w:t>dass Sie die Amtsausübung der gewählten Organe des Landes nicht behindern werden, und</w:t>
      </w:r>
    </w:p>
    <w:p w14:paraId="2D83E5C9" w14:textId="77777777" w:rsidR="002108D2" w:rsidRDefault="000038E1">
      <w:pPr>
        <w:numPr>
          <w:ilvl w:val="0"/>
          <w:numId w:val="31"/>
        </w:numPr>
        <w:spacing w:line="360" w:lineRule="auto"/>
        <w:jc w:val="both"/>
      </w:pPr>
      <w:r>
        <w:t>dass Sie die auswärtigen Belange der Bundesrepublik Deutschland nicht durch Ausübung von Gewalt oder durch Vorbereitung solcher Handlungen gefährden wollen</w:t>
      </w:r>
    </w:p>
    <w:p w14:paraId="381320F1" w14:textId="77777777" w:rsidR="000038E1" w:rsidRPr="000038E1" w:rsidRDefault="000038E1" w:rsidP="000038E1">
      <w:pPr>
        <w:pStyle w:val="Listenabsatz"/>
        <w:numPr>
          <w:ilvl w:val="0"/>
          <w:numId w:val="31"/>
        </w:numPr>
        <w:autoSpaceDE w:val="0"/>
        <w:autoSpaceDN w:val="0"/>
        <w:adjustRightInd w:val="0"/>
        <w:rPr>
          <w:color w:val="000000"/>
        </w:rPr>
      </w:pPr>
      <w:r w:rsidRPr="000038E1">
        <w:t>dass Sie keine Bestrebungen unterstützen oder selbst verfolgen, die eine antisemitische, rassistische, fremdenfeindliche oder sonstige menschenverachtende Handlung zum Ziele haben.</w:t>
      </w:r>
    </w:p>
    <w:p w14:paraId="50E39DFC" w14:textId="77777777" w:rsidR="000038E1" w:rsidRDefault="000038E1" w:rsidP="000038E1">
      <w:pPr>
        <w:spacing w:line="360" w:lineRule="auto"/>
        <w:ind w:left="397"/>
        <w:jc w:val="both"/>
      </w:pPr>
    </w:p>
    <w:p w14:paraId="47309D9F" w14:textId="77777777" w:rsidR="002108D2" w:rsidRDefault="002108D2">
      <w:pPr>
        <w:spacing w:line="360" w:lineRule="auto"/>
        <w:jc w:val="both"/>
      </w:pPr>
    </w:p>
    <w:p w14:paraId="2F1BA4C5" w14:textId="77777777" w:rsidR="002108D2" w:rsidRDefault="002108D2">
      <w:pPr>
        <w:spacing w:line="360" w:lineRule="auto"/>
        <w:jc w:val="both"/>
      </w:pPr>
    </w:p>
    <w:p w14:paraId="528CE265" w14:textId="77777777" w:rsidR="002108D2" w:rsidRDefault="000038E1">
      <w:pPr>
        <w:spacing w:line="360" w:lineRule="auto"/>
        <w:jc w:val="both"/>
        <w:rPr>
          <w:b/>
          <w:bCs/>
          <w:u w:val="single"/>
        </w:rPr>
      </w:pPr>
      <w:r>
        <w:rPr>
          <w:b/>
          <w:bCs/>
          <w:sz w:val="32"/>
          <w:u w:val="single"/>
        </w:rPr>
        <w:t>Wichtiger Hinweis</w:t>
      </w:r>
    </w:p>
    <w:p w14:paraId="01D62BD0" w14:textId="77777777" w:rsidR="000038E1" w:rsidRDefault="000038E1">
      <w:pPr>
        <w:spacing w:line="360" w:lineRule="auto"/>
        <w:jc w:val="both"/>
        <w:rPr>
          <w:b/>
          <w:bCs/>
          <w:color w:val="000000"/>
        </w:rPr>
      </w:pPr>
      <w:r>
        <w:rPr>
          <w:b/>
          <w:bCs/>
          <w:color w:val="000000"/>
        </w:rPr>
        <w:t xml:space="preserve">Bitte beachten Sie, dass von Ihnen, sofern Sie </w:t>
      </w:r>
      <w:r>
        <w:rPr>
          <w:b/>
          <w:bCs/>
          <w:color w:val="000000"/>
          <w:u w:val="single"/>
        </w:rPr>
        <w:t>früher</w:t>
      </w:r>
      <w:r>
        <w:rPr>
          <w:b/>
          <w:bCs/>
          <w:color w:val="000000"/>
        </w:rPr>
        <w:t xml:space="preserve"> Bestrebungen im vorstehenden Sinne unterstützt oder verfolgt haben, sich davon aber inzwischen abgewendet haben, </w:t>
      </w:r>
      <w:r>
        <w:rPr>
          <w:b/>
          <w:bCs/>
          <w:color w:val="000000"/>
          <w:u w:val="single"/>
        </w:rPr>
        <w:t>nicht</w:t>
      </w:r>
      <w:r>
        <w:rPr>
          <w:b/>
          <w:bCs/>
          <w:color w:val="000000"/>
        </w:rPr>
        <w:t xml:space="preserve"> diese Version der Loyalitätserklärung zu unterschreiben ist! Reichen Sie in diesem Fall bitte bei der Abgabe Ihres Einbürgerungsantrags eine schriftliche Erklärung ein, aus der schlüssig und nachvollziehbar hervor geht, welche Tatsachen und Umstände die Annahme rechtfertigen, dass Sie sich tatsächlich von solchen Bestrebungen abgewendet haben. Zusätzlich wird Ihnen dann bei der Antragstellung eine andere Version der Loyalitätserklärung zur Unterschrift vorgelegt.</w:t>
      </w:r>
    </w:p>
    <w:sectPr w:rsidR="000038E1">
      <w:headerReference w:type="default" r:id="rId7"/>
      <w:pgSz w:w="11906" w:h="16838" w:code="9"/>
      <w:pgMar w:top="992" w:right="720"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15B7" w14:textId="77777777" w:rsidR="000038E1" w:rsidRDefault="000038E1">
      <w:r>
        <w:separator/>
      </w:r>
    </w:p>
  </w:endnote>
  <w:endnote w:type="continuationSeparator" w:id="0">
    <w:p w14:paraId="4DF144B5" w14:textId="77777777" w:rsidR="000038E1" w:rsidRDefault="0000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w:panose1 w:val="020B05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1E9C" w14:textId="77777777" w:rsidR="000038E1" w:rsidRDefault="000038E1">
      <w:r>
        <w:separator/>
      </w:r>
    </w:p>
  </w:footnote>
  <w:footnote w:type="continuationSeparator" w:id="0">
    <w:p w14:paraId="760ED0D1" w14:textId="77777777" w:rsidR="000038E1" w:rsidRDefault="0000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951F" w14:textId="77777777" w:rsidR="002108D2" w:rsidRDefault="000038E1">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E5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5A0443D"/>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3787D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9F7BD2"/>
    <w:multiLevelType w:val="multilevel"/>
    <w:tmpl w:val="23C8131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6776C20"/>
    <w:multiLevelType w:val="hybridMultilevel"/>
    <w:tmpl w:val="0B868E52"/>
    <w:lvl w:ilvl="0" w:tplc="B200592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2712D"/>
    <w:multiLevelType w:val="singleLevel"/>
    <w:tmpl w:val="9E5E01EC"/>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2C2F3439"/>
    <w:multiLevelType w:val="multilevel"/>
    <w:tmpl w:val="9B5A3FA8"/>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624"/>
        </w:tabs>
        <w:ind w:left="624" w:hanging="624"/>
      </w:pPr>
    </w:lvl>
    <w:lvl w:ilvl="3">
      <w:start w:val="1"/>
      <w:numFmt w:val="decimal"/>
      <w:lvlText w:val="%1.%2.%3.%4"/>
      <w:lvlJc w:val="left"/>
      <w:pPr>
        <w:tabs>
          <w:tab w:val="num" w:pos="1080"/>
        </w:tabs>
        <w:ind w:left="624" w:hanging="62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0FD0F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197F74"/>
    <w:multiLevelType w:val="hybridMultilevel"/>
    <w:tmpl w:val="661E0A1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7CD6C8F"/>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47AF3BBC"/>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591075D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A0F3ACB"/>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D4D25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F5C90"/>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E6309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9A65BF"/>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71800E36"/>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20A36E0"/>
    <w:multiLevelType w:val="multilevel"/>
    <w:tmpl w:val="82569A48"/>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75B03C18"/>
    <w:multiLevelType w:val="singleLevel"/>
    <w:tmpl w:val="AE00E940"/>
    <w:lvl w:ilvl="0">
      <w:start w:val="1"/>
      <w:numFmt w:val="lowerLetter"/>
      <w:lvlText w:val="%1)"/>
      <w:lvlJc w:val="left"/>
      <w:pPr>
        <w:tabs>
          <w:tab w:val="num" w:pos="360"/>
        </w:tabs>
        <w:ind w:left="360" w:hanging="360"/>
      </w:pPr>
    </w:lvl>
  </w:abstractNum>
  <w:abstractNum w:abstractNumId="20" w15:restartNumberingAfterBreak="0">
    <w:nsid w:val="7B9B3FFE"/>
    <w:multiLevelType w:val="hybridMultilevel"/>
    <w:tmpl w:val="416078C2"/>
    <w:lvl w:ilvl="0" w:tplc="7B6C45A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num w:numId="1" w16cid:durableId="907813048">
    <w:abstractNumId w:val="0"/>
  </w:num>
  <w:num w:numId="2" w16cid:durableId="1312949442">
    <w:abstractNumId w:val="6"/>
  </w:num>
  <w:num w:numId="3" w16cid:durableId="1944727304">
    <w:abstractNumId w:val="18"/>
  </w:num>
  <w:num w:numId="4" w16cid:durableId="255750833">
    <w:abstractNumId w:val="7"/>
  </w:num>
  <w:num w:numId="5" w16cid:durableId="678122280">
    <w:abstractNumId w:val="2"/>
  </w:num>
  <w:num w:numId="6" w16cid:durableId="1760712157">
    <w:abstractNumId w:val="13"/>
  </w:num>
  <w:num w:numId="7" w16cid:durableId="696396769">
    <w:abstractNumId w:val="15"/>
  </w:num>
  <w:num w:numId="8" w16cid:durableId="1295909604">
    <w:abstractNumId w:val="17"/>
  </w:num>
  <w:num w:numId="9" w16cid:durableId="346103123">
    <w:abstractNumId w:val="14"/>
  </w:num>
  <w:num w:numId="10" w16cid:durableId="609237505">
    <w:abstractNumId w:val="11"/>
  </w:num>
  <w:num w:numId="11" w16cid:durableId="1594970696">
    <w:abstractNumId w:val="12"/>
  </w:num>
  <w:num w:numId="12" w16cid:durableId="1358197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25597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7027742">
    <w:abstractNumId w:val="10"/>
  </w:num>
  <w:num w:numId="15" w16cid:durableId="1440418264">
    <w:abstractNumId w:val="19"/>
  </w:num>
  <w:num w:numId="16" w16cid:durableId="1553541683">
    <w:abstractNumId w:val="9"/>
  </w:num>
  <w:num w:numId="17" w16cid:durableId="695693896">
    <w:abstractNumId w:val="16"/>
  </w:num>
  <w:num w:numId="18" w16cid:durableId="664939174">
    <w:abstractNumId w:val="1"/>
  </w:num>
  <w:num w:numId="19" w16cid:durableId="1624651631">
    <w:abstractNumId w:val="5"/>
  </w:num>
  <w:num w:numId="20" w16cid:durableId="105466479">
    <w:abstractNumId w:val="18"/>
  </w:num>
  <w:num w:numId="21" w16cid:durableId="2020310959">
    <w:abstractNumId w:val="5"/>
  </w:num>
  <w:num w:numId="22" w16cid:durableId="1582712455">
    <w:abstractNumId w:val="18"/>
  </w:num>
  <w:num w:numId="23" w16cid:durableId="296570621">
    <w:abstractNumId w:val="18"/>
  </w:num>
  <w:num w:numId="24" w16cid:durableId="1272666353">
    <w:abstractNumId w:val="18"/>
  </w:num>
  <w:num w:numId="25" w16cid:durableId="1683506921">
    <w:abstractNumId w:val="18"/>
  </w:num>
  <w:num w:numId="26" w16cid:durableId="1912810934">
    <w:abstractNumId w:val="18"/>
  </w:num>
  <w:num w:numId="27" w16cid:durableId="184711174">
    <w:abstractNumId w:val="18"/>
  </w:num>
  <w:num w:numId="28" w16cid:durableId="1565603484">
    <w:abstractNumId w:val="18"/>
  </w:num>
  <w:num w:numId="29" w16cid:durableId="78404324">
    <w:abstractNumId w:val="18"/>
  </w:num>
  <w:num w:numId="30" w16cid:durableId="138573669">
    <w:abstractNumId w:val="18"/>
  </w:num>
  <w:num w:numId="31" w16cid:durableId="891774112">
    <w:abstractNumId w:val="20"/>
  </w:num>
  <w:num w:numId="32" w16cid:durableId="1306666447">
    <w:abstractNumId w:val="4"/>
  </w:num>
  <w:num w:numId="33" w16cid:durableId="1194228581">
    <w:abstractNumId w:val="8"/>
  </w:num>
  <w:num w:numId="34" w16cid:durableId="1183324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E1"/>
    <w:rsid w:val="000038E1"/>
    <w:rsid w:val="002108D2"/>
    <w:rsid w:val="007A6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CC20F"/>
  <w15:chartTrackingRefBased/>
  <w15:docId w15:val="{ABC65B78-2BA5-4133-9462-517E25AB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qFormat/>
    <w:pPr>
      <w:numPr>
        <w:numId w:val="22"/>
      </w:numPr>
      <w:spacing w:before="240"/>
      <w:outlineLvl w:val="0"/>
    </w:pPr>
  </w:style>
  <w:style w:type="paragraph" w:styleId="berschrift2">
    <w:name w:val="heading 2"/>
    <w:basedOn w:val="berschrift1"/>
    <w:qFormat/>
    <w:pPr>
      <w:numPr>
        <w:ilvl w:val="1"/>
        <w:numId w:val="23"/>
      </w:numPr>
      <w:spacing w:before="0"/>
      <w:outlineLvl w:val="1"/>
    </w:pPr>
  </w:style>
  <w:style w:type="paragraph" w:styleId="berschrift3">
    <w:name w:val="heading 3"/>
    <w:basedOn w:val="berschrift1"/>
    <w:qFormat/>
    <w:pPr>
      <w:keepNext/>
      <w:numPr>
        <w:ilvl w:val="2"/>
        <w:numId w:val="24"/>
      </w:numPr>
      <w:spacing w:before="0"/>
      <w:outlineLvl w:val="2"/>
    </w:pPr>
  </w:style>
  <w:style w:type="paragraph" w:styleId="berschrift4">
    <w:name w:val="heading 4"/>
    <w:basedOn w:val="Standard"/>
    <w:next w:val="Standard"/>
    <w:qFormat/>
    <w:pPr>
      <w:keepNext/>
      <w:numPr>
        <w:ilvl w:val="3"/>
        <w:numId w:val="25"/>
      </w:numPr>
      <w:outlineLvl w:val="3"/>
    </w:pPr>
  </w:style>
  <w:style w:type="paragraph" w:styleId="berschrift5">
    <w:name w:val="heading 5"/>
    <w:basedOn w:val="Standard"/>
    <w:next w:val="Standard"/>
    <w:qFormat/>
    <w:pPr>
      <w:numPr>
        <w:ilvl w:val="4"/>
        <w:numId w:val="26"/>
      </w:numPr>
      <w:outlineLvl w:val="4"/>
    </w:pPr>
  </w:style>
  <w:style w:type="paragraph" w:styleId="berschrift6">
    <w:name w:val="heading 6"/>
    <w:basedOn w:val="Standard"/>
    <w:next w:val="Standard"/>
    <w:qFormat/>
    <w:pPr>
      <w:numPr>
        <w:ilvl w:val="5"/>
        <w:numId w:val="27"/>
      </w:numPr>
      <w:outlineLvl w:val="5"/>
    </w:pPr>
  </w:style>
  <w:style w:type="paragraph" w:styleId="berschrift7">
    <w:name w:val="heading 7"/>
    <w:basedOn w:val="Standard"/>
    <w:next w:val="Standard"/>
    <w:qFormat/>
    <w:pPr>
      <w:numPr>
        <w:ilvl w:val="6"/>
        <w:numId w:val="28"/>
      </w:numPr>
      <w:outlineLvl w:val="6"/>
    </w:pPr>
  </w:style>
  <w:style w:type="paragraph" w:styleId="berschrift8">
    <w:name w:val="heading 8"/>
    <w:basedOn w:val="Standard"/>
    <w:next w:val="Standard"/>
    <w:qFormat/>
    <w:pPr>
      <w:numPr>
        <w:ilvl w:val="7"/>
        <w:numId w:val="29"/>
      </w:numPr>
      <w:outlineLvl w:val="7"/>
    </w:pPr>
  </w:style>
  <w:style w:type="paragraph" w:styleId="berschrift9">
    <w:name w:val="heading 9"/>
    <w:basedOn w:val="Standard"/>
    <w:next w:val="Standard"/>
    <w:qFormat/>
    <w:pPr>
      <w:numPr>
        <w:ilvl w:val="8"/>
        <w:numId w:val="3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Bullet">
    <w:name w:val="Bullet"/>
    <w:basedOn w:val="Standard"/>
    <w:pPr>
      <w:numPr>
        <w:numId w:val="21"/>
      </w:numPr>
      <w:tabs>
        <w:tab w:val="clear" w:pos="360"/>
      </w:tabs>
      <w:ind w:left="908" w:hanging="284"/>
    </w:pPr>
  </w:style>
  <w:style w:type="paragraph" w:customStyle="1" w:styleId="Einrck">
    <w:name w:val="Einrück"/>
    <w:basedOn w:val="Standard"/>
    <w:pPr>
      <w:ind w:left="624"/>
    </w:pPr>
  </w:style>
  <w:style w:type="paragraph" w:customStyle="1" w:styleId="Absbezeichnung">
    <w:name w:val="Absbezeichnung"/>
    <w:basedOn w:val="Standard"/>
    <w:pPr>
      <w:widowControl w:val="0"/>
      <w:spacing w:line="240" w:lineRule="exact"/>
      <w:jc w:val="right"/>
    </w:pPr>
    <w:rPr>
      <w:rFonts w:ascii="Frutiger" w:hAnsi="Frutiger"/>
      <w:sz w:val="18"/>
    </w:rPr>
  </w:style>
  <w:style w:type="character" w:customStyle="1" w:styleId="Formatvorlage1">
    <w:name w:val="Formatvorlage1"/>
    <w:basedOn w:val="Absatz-Standardschriftart"/>
    <w:rPr>
      <w:rFonts w:ascii="Times New Roman" w:hAnsi="Times New Roman"/>
      <w:b/>
      <w:smallCaps/>
      <w:sz w:val="24"/>
    </w:rPr>
  </w:style>
  <w:style w:type="paragraph" w:customStyle="1" w:styleId="Absdaten">
    <w:name w:val="Absdaten"/>
    <w:basedOn w:val="Standard"/>
    <w:pPr>
      <w:widowControl w:val="0"/>
      <w:spacing w:line="240" w:lineRule="exact"/>
    </w:pPr>
    <w:rPr>
      <w:snapToGrid w:val="0"/>
      <w:color w:val="000000"/>
      <w:sz w:val="20"/>
    </w:rPr>
  </w:style>
  <w:style w:type="paragraph" w:customStyle="1" w:styleId="ABSENDER">
    <w:name w:val="ABSENDER"/>
    <w:rPr>
      <w:rFonts w:ascii="Frutiger" w:hAnsi="Frutiger"/>
      <w:snapToGrid w:val="0"/>
      <w:color w:val="000000"/>
      <w:sz w:val="12"/>
    </w:rPr>
  </w:style>
  <w:style w:type="paragraph" w:customStyle="1" w:styleId="Futext">
    <w:name w:val="Fußtext"/>
    <w:next w:val="Standard"/>
    <w:pPr>
      <w:spacing w:line="153" w:lineRule="atLeast"/>
    </w:pPr>
    <w:rPr>
      <w:rFonts w:ascii="Frutiger" w:hAnsi="Frutiger"/>
      <w:snapToGrid w:val="0"/>
      <w:color w:val="000000"/>
      <w:sz w:val="14"/>
    </w:rPr>
  </w:style>
  <w:style w:type="paragraph" w:customStyle="1" w:styleId="Futexteinrck">
    <w:name w:val="Fußtext einrück"/>
    <w:basedOn w:val="Futext"/>
    <w:pPr>
      <w:framePr w:w="9481" w:h="1077" w:vSpace="6" w:wrap="around" w:vAnchor="page" w:hAnchor="page" w:x="1407" w:y="15112"/>
      <w:tabs>
        <w:tab w:val="left" w:pos="1843"/>
      </w:tabs>
      <w:ind w:left="1843"/>
    </w:pPr>
    <w:rPr>
      <w:bCs/>
    </w:rPr>
  </w:style>
  <w:style w:type="paragraph" w:styleId="Gruformel">
    <w:name w:val="Closing"/>
    <w:basedOn w:val="Standard"/>
    <w:semiHidden/>
    <w:pPr>
      <w:ind w:left="4252"/>
    </w:pPr>
  </w:style>
  <w:style w:type="paragraph" w:styleId="Titel">
    <w:name w:val="Title"/>
    <w:basedOn w:val="Standard"/>
    <w:qFormat/>
    <w:pPr>
      <w:pBdr>
        <w:top w:val="single" w:sz="12" w:space="1" w:color="auto"/>
        <w:left w:val="single" w:sz="12" w:space="4" w:color="auto"/>
        <w:bottom w:val="single" w:sz="12" w:space="1" w:color="auto"/>
        <w:right w:val="single" w:sz="12" w:space="4" w:color="auto"/>
      </w:pBdr>
      <w:shd w:val="clear" w:color="auto" w:fill="D9D9D9"/>
      <w:spacing w:line="360" w:lineRule="auto"/>
      <w:jc w:val="center"/>
    </w:pPr>
    <w:rPr>
      <w:b/>
      <w:bCs/>
      <w:sz w:val="32"/>
    </w:rPr>
  </w:style>
  <w:style w:type="paragraph" w:styleId="Textkrper">
    <w:name w:val="Body Text"/>
    <w:basedOn w:val="Standard"/>
    <w:semiHidden/>
    <w:pPr>
      <w:shd w:val="clear" w:color="auto" w:fill="E0E0E0"/>
      <w:jc w:val="both"/>
    </w:pPr>
    <w:rPr>
      <w:sz w:val="20"/>
    </w:rPr>
  </w:style>
  <w:style w:type="paragraph" w:styleId="Listenabsatz">
    <w:name w:val="List Paragraph"/>
    <w:basedOn w:val="Standard"/>
    <w:uiPriority w:val="34"/>
    <w:qFormat/>
    <w:rsid w:val="000038E1"/>
    <w:pPr>
      <w:ind w:left="720"/>
      <w:contextualSpacing/>
    </w:pPr>
    <w:rPr>
      <w:szCs w:val="24"/>
    </w:rPr>
  </w:style>
  <w:style w:type="paragraph" w:styleId="Sprechblasentext">
    <w:name w:val="Balloon Text"/>
    <w:basedOn w:val="Standard"/>
    <w:link w:val="SprechblasentextZchn"/>
    <w:uiPriority w:val="99"/>
    <w:semiHidden/>
    <w:unhideWhenUsed/>
    <w:rsid w:val="000038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5278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Information für Einbürgerungsbewerberinnen und –bewerber:</vt:lpstr>
    </vt:vector>
  </TitlesOfParts>
  <Company>Stadt Dortmund</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für Einbürgerungsbewerberinnen und –bewerber:</dc:title>
  <dc:subject/>
  <dc:creator>Angelika Schlüter</dc:creator>
  <cp:keywords/>
  <dc:description/>
  <cp:lastModifiedBy>Philipp Hartmann</cp:lastModifiedBy>
  <cp:revision>2</cp:revision>
  <cp:lastPrinted>2021-10-12T07:42:00Z</cp:lastPrinted>
  <dcterms:created xsi:type="dcterms:W3CDTF">2024-01-25T12:02:00Z</dcterms:created>
  <dcterms:modified xsi:type="dcterms:W3CDTF">2024-01-25T12:02:00Z</dcterms:modified>
</cp:coreProperties>
</file>